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BB995" w14:textId="7C597A33" w:rsidR="00856A46" w:rsidRDefault="00A7795B">
      <w:pPr>
        <w:rPr>
          <w:rFonts w:ascii="Poppins" w:hAnsi="Poppins" w:cs="Poppins"/>
          <w:color w:val="4C4C4C"/>
          <w:sz w:val="30"/>
          <w:szCs w:val="30"/>
          <w:shd w:val="clear" w:color="auto" w:fill="FFFFFF"/>
        </w:rPr>
      </w:pPr>
      <w:r>
        <w:rPr>
          <w:rStyle w:val="Strong"/>
          <w:rFonts w:ascii="Poppins" w:hAnsi="Poppins" w:cs="Poppins"/>
          <w:color w:val="4C4C4C"/>
          <w:sz w:val="30"/>
          <w:szCs w:val="30"/>
          <w:bdr w:val="none" w:sz="0" w:space="0" w:color="auto" w:frame="1"/>
          <w:shd w:val="clear" w:color="auto" w:fill="FFFFFF"/>
        </w:rPr>
        <w:t>Bottom Line:</w:t>
      </w:r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> Pre-existing relationships are still required for </w:t>
      </w:r>
      <w:r>
        <w:rPr>
          <w:rStyle w:val="Emphasis"/>
          <w:rFonts w:ascii="Poppins" w:hAnsi="Poppins" w:cs="Poppins"/>
          <w:color w:val="4C4C4C"/>
          <w:sz w:val="30"/>
          <w:szCs w:val="30"/>
          <w:bdr w:val="none" w:sz="0" w:space="0" w:color="auto" w:frame="1"/>
          <w:shd w:val="clear" w:color="auto" w:fill="FFFFFF"/>
        </w:rPr>
        <w:t>ALL </w:t>
      </w:r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>investors in a Rule 506(b) offering, regardless of their financial qualifications, and a pre-qualification questionnaire is not sufficient to </w:t>
      </w:r>
      <w:r>
        <w:rPr>
          <w:rStyle w:val="Emphasis"/>
          <w:rFonts w:ascii="Poppins" w:hAnsi="Poppins" w:cs="Poppins"/>
          <w:color w:val="4C4C4C"/>
          <w:sz w:val="30"/>
          <w:szCs w:val="30"/>
          <w:bdr w:val="none" w:sz="0" w:space="0" w:color="auto" w:frame="1"/>
          <w:shd w:val="clear" w:color="auto" w:fill="FFFFFF"/>
        </w:rPr>
        <w:t>establish</w:t>
      </w:r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> a pre-existing relationship, but it’s a good start. The issuer must have a conversation with the investor about his or her financial sophistication, circumstances, and suitability, and all of that must be done before making an offer.</w:t>
      </w:r>
    </w:p>
    <w:p w14:paraId="0FB1E01B" w14:textId="35EF1CBD" w:rsidR="00A31543" w:rsidRDefault="00A31543">
      <w:pPr>
        <w:rPr>
          <w:rFonts w:ascii="Poppins" w:hAnsi="Poppins" w:cs="Poppins"/>
          <w:color w:val="4C4C4C"/>
          <w:sz w:val="30"/>
          <w:szCs w:val="30"/>
          <w:shd w:val="clear" w:color="auto" w:fill="FFFFFF"/>
        </w:rPr>
      </w:pPr>
    </w:p>
    <w:p w14:paraId="312E4997" w14:textId="75DFE3B3" w:rsidR="00A31543" w:rsidRDefault="00A31543">
      <w:pPr>
        <w:rPr>
          <w:rFonts w:ascii="Poppins" w:hAnsi="Poppins" w:cs="Poppins"/>
          <w:color w:val="4C4C4C"/>
          <w:sz w:val="30"/>
          <w:szCs w:val="30"/>
          <w:shd w:val="clear" w:color="auto" w:fill="FFFFFF"/>
        </w:rPr>
      </w:pPr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 xml:space="preserve">The Movie Studio could cold call market and advertise during the period of 12-08-2018 to 12-08-2019 during the Reg 1-A+ Tier 1 Period that could form substantive and pre-existing relationships for the </w:t>
      </w:r>
      <w:proofErr w:type="gramStart"/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>forward looking</w:t>
      </w:r>
      <w:proofErr w:type="gramEnd"/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 xml:space="preserve"> period regarding Dan LeBron and Jeff Hines. </w:t>
      </w:r>
    </w:p>
    <w:p w14:paraId="579FF5DA" w14:textId="2EA77F11" w:rsidR="00A31543" w:rsidRDefault="00A31543">
      <w:pPr>
        <w:rPr>
          <w:rFonts w:ascii="Poppins" w:hAnsi="Poppins" w:cs="Poppins"/>
          <w:color w:val="4C4C4C"/>
          <w:sz w:val="30"/>
          <w:szCs w:val="30"/>
          <w:shd w:val="clear" w:color="auto" w:fill="FFFFFF"/>
        </w:rPr>
      </w:pPr>
    </w:p>
    <w:p w14:paraId="6AC284F7" w14:textId="292F3A1F" w:rsidR="00A31543" w:rsidRDefault="00A31543">
      <w:r>
        <w:rPr>
          <w:rFonts w:ascii="Poppins" w:hAnsi="Poppins" w:cs="Poppins"/>
          <w:color w:val="4C4C4C"/>
          <w:sz w:val="30"/>
          <w:szCs w:val="30"/>
          <w:shd w:val="clear" w:color="auto" w:fill="FFFFFF"/>
        </w:rPr>
        <w:t>As well as the TMS legacy Investors.</w:t>
      </w:r>
    </w:p>
    <w:sectPr w:rsidR="00A31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5B"/>
    <w:rsid w:val="00856A46"/>
    <w:rsid w:val="00A31543"/>
    <w:rsid w:val="00A7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17390"/>
  <w15:chartTrackingRefBased/>
  <w15:docId w15:val="{2DFCF845-4451-4ED6-9C10-CA54256C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7795B"/>
    <w:rPr>
      <w:b/>
      <w:bCs/>
    </w:rPr>
  </w:style>
  <w:style w:type="character" w:styleId="Emphasis">
    <w:name w:val="Emphasis"/>
    <w:basedOn w:val="DefaultParagraphFont"/>
    <w:uiPriority w:val="20"/>
    <w:qFormat/>
    <w:rsid w:val="00A779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Venters</dc:creator>
  <cp:keywords/>
  <dc:description/>
  <cp:lastModifiedBy>Gordon Venters</cp:lastModifiedBy>
  <cp:revision>2</cp:revision>
  <dcterms:created xsi:type="dcterms:W3CDTF">2023-11-17T22:15:00Z</dcterms:created>
  <dcterms:modified xsi:type="dcterms:W3CDTF">2023-11-17T22:15:00Z</dcterms:modified>
</cp:coreProperties>
</file>